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A5" w:rsidRPr="006F2EA5" w:rsidRDefault="006F2EA5" w:rsidP="006F2EA5">
      <w:pPr>
        <w:shd w:val="clear" w:color="auto" w:fill="0473A2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57"/>
          <w:szCs w:val="57"/>
        </w:rPr>
      </w:pPr>
      <w:proofErr w:type="spellStart"/>
      <w:r w:rsidRPr="006F2EA5">
        <w:rPr>
          <w:rFonts w:ascii="Arial" w:eastAsia="Times New Roman" w:hAnsi="Arial" w:cs="Arial"/>
          <w:color w:val="FFFFFF"/>
          <w:kern w:val="36"/>
          <w:sz w:val="57"/>
          <w:szCs w:val="57"/>
        </w:rPr>
        <w:t>Genset</w:t>
      </w:r>
      <w:proofErr w:type="spellEnd"/>
      <w:r w:rsidRPr="006F2EA5">
        <w:rPr>
          <w:rFonts w:ascii="Arial" w:eastAsia="Times New Roman" w:hAnsi="Arial" w:cs="Arial"/>
          <w:color w:val="FFFFFF"/>
          <w:kern w:val="36"/>
          <w:sz w:val="57"/>
          <w:szCs w:val="57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FFFFFF"/>
          <w:kern w:val="36"/>
          <w:sz w:val="57"/>
          <w:szCs w:val="57"/>
        </w:rPr>
        <w:t>Deutz</w:t>
      </w:r>
      <w:proofErr w:type="spellEnd"/>
    </w:p>
    <w:p w:rsidR="00AC5D02" w:rsidRDefault="00AC5D02" w:rsidP="006F2EA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F2EA5" w:rsidRPr="006F2EA5" w:rsidRDefault="00AC5D02" w:rsidP="006F2EA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5DA1051" wp14:editId="59B0D428">
            <wp:extent cx="3021653" cy="2158324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set-deut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653" cy="215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EA5" w:rsidRPr="006F2EA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DFD43D" wp14:editId="16DDFE8E">
                <wp:extent cx="304800" cy="304800"/>
                <wp:effectExtent l="0" t="0" r="0" b="0"/>
                <wp:docPr id="2" name="AutoShape 2" descr="genset-deut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genset-deut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/VCbv7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merupakan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brand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asal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jerman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didirikan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oleh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Nicolaus Otto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pada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tanggal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31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Maret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1864.</w:t>
      </w:r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Pada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awalnya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hanya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memproduksi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mesin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stasioner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namun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seiring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berjalannya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waktu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juga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memproduksi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mesin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pertanian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seperti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combine harvester,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traktor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serta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kendaraan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komersial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seperti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truk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bus.</w:t>
      </w:r>
      <w:proofErr w:type="gramEnd"/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r w:rsidRPr="006F2EA5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Austin Power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adalah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salah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satu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brand distributor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di Indonesia.</w:t>
      </w:r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Kami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menjual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lainnya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secara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type open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silent yang kami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tawarkan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kompetitif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bergaransi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Kamipun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memiliki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pelayanan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purna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jual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(Aftersales)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perkins</w:t>
      </w:r>
      <w:proofErr w:type="spellEnd"/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layanan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service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kualitas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didukung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oleh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teknisi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handal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bersertifikat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serta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ketersedian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sparepart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</w:p>
    <w:p w:rsidR="006F2EA5" w:rsidRPr="006F2EA5" w:rsidRDefault="006F2EA5" w:rsidP="006F2EA5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6F2EA5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Austin Power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mesin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menyediakan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kebutuhan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apapun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mulai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dari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: 12,5 kVA, 20 kVA, 30 kVA, 50 kVA, 60 kVA, 76 kVA, 100 kVA, 100 kVA, 130 kVA, 160 kVA, 200 kVA, 250 kVA, 315 kVA, 380 kVA, 430 kVA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500 kVA.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mengetahui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ketersedian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produk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anda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dapat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mengeceknya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melalui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katalog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berikut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berisikan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informasi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mengenai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generator set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tersedia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r w:rsidRPr="006F2EA5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merupakan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salah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satu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brand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bandel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kualitas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terjamin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Deutz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sudah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banyak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digunakan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secara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heavy-duty di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industri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seperti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perkebunan</w:t>
      </w:r>
      <w:proofErr w:type="gram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,pertambangan,manufaktur</w:t>
      </w:r>
      <w:proofErr w:type="spellEnd"/>
      <w:proofErr w:type="gramEnd"/>
      <w:r w:rsidRPr="006F2EA5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F2EA5">
        <w:rPr>
          <w:rFonts w:ascii="Arial" w:eastAsia="Times New Roman" w:hAnsi="Arial" w:cs="Arial"/>
          <w:color w:val="565656"/>
          <w:sz w:val="24"/>
          <w:szCs w:val="24"/>
        </w:rPr>
        <w:t>dll</w:t>
      </w:r>
      <w:proofErr w:type="spellEnd"/>
      <w:r w:rsidRPr="006F2EA5">
        <w:rPr>
          <w:rFonts w:ascii="Arial" w:eastAsia="Times New Roman" w:hAnsi="Arial" w:cs="Arial"/>
          <w:color w:val="565656"/>
          <w:sz w:val="24"/>
          <w:szCs w:val="24"/>
        </w:rPr>
        <w:t>.</w:t>
      </w:r>
    </w:p>
    <w:p w:rsidR="006F2EA5" w:rsidRPr="006F2EA5" w:rsidRDefault="006F2EA5" w:rsidP="006F2EA5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r w:rsidRPr="006F2EA5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tbl>
      <w:tblPr>
        <w:tblW w:w="8264" w:type="dxa"/>
        <w:jc w:val="center"/>
        <w:tblInd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453"/>
        <w:gridCol w:w="4236"/>
      </w:tblGrid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F2EA5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 xml:space="preserve">Type </w:t>
            </w:r>
            <w:proofErr w:type="spellStart"/>
            <w:r w:rsidRPr="006F2EA5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Genset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F2EA5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kVA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F2EA5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Type Engine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PZ12T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F2M 2011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PZ20T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F3M 2011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PZ30T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F4M 2011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PZ50T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BF4M 2011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PZ75T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BF4M 2012 C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PZ100T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BF4M 1013 EC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PZ160T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BF6M 1013 EC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PZ200T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BF6M 1013 FCG3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PZ250T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TCD2013LO64V</w:t>
            </w:r>
          </w:p>
        </w:tc>
      </w:tr>
      <w:tr w:rsidR="006F2EA5" w:rsidRPr="006F2EA5" w:rsidTr="006F2EA5">
        <w:trPr>
          <w:jc w:val="center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473A32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EA5"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PZ500T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EA5" w:rsidRPr="006F2EA5" w:rsidRDefault="006F2EA5" w:rsidP="006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A5">
              <w:rPr>
                <w:rFonts w:ascii="Times New Roman" w:eastAsia="Times New Roman" w:hAnsi="Times New Roman" w:cs="Times New Roman"/>
                <w:sz w:val="24"/>
                <w:szCs w:val="24"/>
              </w:rPr>
              <w:t>BF8M 1015 CP</w:t>
            </w:r>
          </w:p>
        </w:tc>
      </w:tr>
    </w:tbl>
    <w:p w:rsidR="00970E73" w:rsidRDefault="00473A32">
      <w:bookmarkStart w:id="0" w:name="_GoBack"/>
      <w:bookmarkEnd w:id="0"/>
    </w:p>
    <w:sectPr w:rsidR="00970E73" w:rsidSect="00AC5D02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heading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A5"/>
    <w:rsid w:val="000C43AA"/>
    <w:rsid w:val="001652BA"/>
    <w:rsid w:val="00473A32"/>
    <w:rsid w:val="006F2EA5"/>
    <w:rsid w:val="007B4ED8"/>
    <w:rsid w:val="00A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050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5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4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3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Erick</cp:lastModifiedBy>
  <cp:revision>4</cp:revision>
  <dcterms:created xsi:type="dcterms:W3CDTF">2024-03-20T11:51:00Z</dcterms:created>
  <dcterms:modified xsi:type="dcterms:W3CDTF">2024-07-17T11:08:00Z</dcterms:modified>
</cp:coreProperties>
</file>